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9" w:rsidRPr="006C2A58" w:rsidRDefault="006D01C9" w:rsidP="006C2A58">
      <w:pPr>
        <w:shd w:val="clear" w:color="auto" w:fill="FFFFFF"/>
        <w:spacing w:after="0" w:line="420" w:lineRule="atLeast"/>
        <w:jc w:val="center"/>
        <w:outlineLvl w:val="0"/>
        <w:rPr>
          <w:rFonts w:ascii="Arial Rounded MT Bold" w:eastAsia="Times New Roman" w:hAnsi="Arial Rounded MT Bold" w:cs="Times New Roman"/>
          <w:b/>
          <w:bCs/>
          <w:i/>
          <w:color w:val="FF0000"/>
          <w:kern w:val="36"/>
          <w:sz w:val="40"/>
          <w:szCs w:val="40"/>
          <w:lang w:eastAsia="uk-UA"/>
        </w:rPr>
      </w:pPr>
      <w:r w:rsidRPr="006C2A5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uk-UA"/>
        </w:rPr>
        <w:t>ЛОГОПЕДИЧНИЙ</w:t>
      </w:r>
      <w:r w:rsidRPr="006C2A58">
        <w:rPr>
          <w:rFonts w:ascii="Arial Rounded MT Bold" w:eastAsia="Times New Roman" w:hAnsi="Arial Rounded MT Bold" w:cs="Times New Roman"/>
          <w:b/>
          <w:bCs/>
          <w:i/>
          <w:color w:val="FF0000"/>
          <w:kern w:val="36"/>
          <w:sz w:val="40"/>
          <w:szCs w:val="40"/>
          <w:lang w:eastAsia="uk-UA"/>
        </w:rPr>
        <w:t xml:space="preserve"> </w:t>
      </w:r>
      <w:r w:rsidRPr="006C2A5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uk-UA"/>
        </w:rPr>
        <w:t>ПУТІВНИК</w:t>
      </w:r>
      <w:r w:rsidRPr="006C2A58">
        <w:rPr>
          <w:rFonts w:ascii="Arial Rounded MT Bold" w:eastAsia="Times New Roman" w:hAnsi="Arial Rounded MT Bold" w:cs="Times New Roman"/>
          <w:b/>
          <w:bCs/>
          <w:i/>
          <w:color w:val="FF0000"/>
          <w:kern w:val="36"/>
          <w:sz w:val="40"/>
          <w:szCs w:val="40"/>
          <w:lang w:eastAsia="uk-UA"/>
        </w:rPr>
        <w:t xml:space="preserve"> </w:t>
      </w:r>
      <w:r w:rsidRPr="006C2A5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uk-UA"/>
        </w:rPr>
        <w:t>ДЛЯ</w:t>
      </w:r>
      <w:r w:rsidRPr="006C2A58">
        <w:rPr>
          <w:rFonts w:ascii="Arial Rounded MT Bold" w:eastAsia="Times New Roman" w:hAnsi="Arial Rounded MT Bold" w:cs="Times New Roman"/>
          <w:b/>
          <w:bCs/>
          <w:i/>
          <w:color w:val="FF0000"/>
          <w:kern w:val="36"/>
          <w:sz w:val="40"/>
          <w:szCs w:val="40"/>
          <w:lang w:eastAsia="uk-UA"/>
        </w:rPr>
        <w:t xml:space="preserve"> </w:t>
      </w:r>
      <w:r w:rsidRPr="006C2A5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uk-UA"/>
        </w:rPr>
        <w:t>БАТЬКІВ</w:t>
      </w:r>
    </w:p>
    <w:p w:rsidR="006C2A58" w:rsidRPr="006D01C9" w:rsidRDefault="006C2A58" w:rsidP="006D01C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6D01C9" w:rsidRDefault="006D01C9" w:rsidP="006C2A5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/>
        </w:rPr>
        <w:drawing>
          <wp:inline distT="0" distB="0" distL="0" distR="0">
            <wp:extent cx="5076825" cy="2238375"/>
            <wp:effectExtent l="19050" t="0" r="9525" b="0"/>
            <wp:docPr id="1" name="cc-m-imagesubtitle-image-8695206398" descr="https://image.jimcdn.com/app/cms/image/transf/dimension=220x10000:format=jpg/path/s0d6c54ec994348a8/image/i3059d9ad1724effd/version/13843368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695206398" descr="https://image.jimcdn.com/app/cms/image/transf/dimension=220x10000:format=jpg/path/s0d6c54ec994348a8/image/i3059d9ad1724effd/version/1384336870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58" w:rsidRDefault="006C2A58" w:rsidP="006C2A5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</w:p>
    <w:p w:rsidR="006C2A58" w:rsidRPr="006D01C9" w:rsidRDefault="006C2A58" w:rsidP="006C2A5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  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 Ми</w:t>
      </w:r>
      <w:r w:rsidRPr="006D01C9">
        <w:rPr>
          <w:rFonts w:ascii="Arial" w:eastAsia="Times New Roman" w:hAnsi="Arial" w:cs="Arial"/>
          <w:i/>
          <w:iCs/>
          <w:color w:val="800000"/>
          <w:sz w:val="28"/>
          <w:szCs w:val="28"/>
          <w:lang w:eastAsia="uk-UA"/>
        </w:rPr>
        <w:t> розуміємо, що сьогодні є багато джерел з яких допитливі,   турботливі батьки можуть отримати інформацію з проблем, які виникають у розвитку дітей. Та звертаємо увагу відвідувача сайту на те, що без допомоги спеціалістів вам не впоратись! 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      </w:t>
      </w:r>
      <w:r w:rsidRPr="006D01C9">
        <w:rPr>
          <w:rFonts w:ascii="Arial" w:eastAsia="Times New Roman" w:hAnsi="Arial" w:cs="Arial"/>
          <w:i/>
          <w:iCs/>
          <w:color w:val="800000"/>
          <w:sz w:val="28"/>
          <w:szCs w:val="28"/>
          <w:lang w:eastAsia="uk-UA"/>
        </w:rPr>
        <w:t xml:space="preserve">Ми не ставимо за мету навчити батьків виправляти вади </w:t>
      </w:r>
      <w:proofErr w:type="spellStart"/>
      <w:r w:rsidRPr="006D01C9">
        <w:rPr>
          <w:rFonts w:ascii="Arial" w:eastAsia="Times New Roman" w:hAnsi="Arial" w:cs="Arial"/>
          <w:i/>
          <w:iCs/>
          <w:color w:val="800000"/>
          <w:sz w:val="28"/>
          <w:szCs w:val="28"/>
          <w:lang w:eastAsia="uk-UA"/>
        </w:rPr>
        <w:t>звуковимови</w:t>
      </w:r>
      <w:proofErr w:type="spellEnd"/>
      <w:r w:rsidRPr="006D01C9">
        <w:rPr>
          <w:rFonts w:ascii="Arial" w:eastAsia="Times New Roman" w:hAnsi="Arial" w:cs="Arial"/>
          <w:i/>
          <w:iCs/>
          <w:color w:val="800000"/>
          <w:sz w:val="28"/>
          <w:szCs w:val="28"/>
          <w:lang w:eastAsia="uk-UA"/>
        </w:rPr>
        <w:t xml:space="preserve"> у дітей, тому що без відповідної теоретичної підготовки, не встановивши причини дефекту, зробити це неможливо. Наше завдання: дати   відповіді на запитання, які хвилюють кожну маму чи тата, які виховують дитину з вадами мовлення; порадити до кого звернутись; познайомити з логопедичною термінологію; навчити за допомогою ігор сприяти мовленнєвому розвитку дитини.    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u w:val="single"/>
          <w:lang w:eastAsia="uk-UA"/>
        </w:rPr>
        <w:t>Основні причини патології дитячого мовлення: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 xml:space="preserve">різноманітна 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внутріутробна</w:t>
      </w:r>
      <w:proofErr w:type="spellEnd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 xml:space="preserve"> патологія, що веде до порушення розвитку плоду;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найбільш грубі дефекти мовлення виникають при порушенні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                     розвитку плоду від 4-х тижнів до 4-х місяців;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токсикози вагітних, несумісність матері і плоду за резус-фактором;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пологова травма і асфіксія під час пологів, що спричиняють внутрічерепні крововиливи;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захворювання центральної нервової системи в перші роки життя дитини (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менінгоенцефаліти</w:t>
      </w:r>
      <w:proofErr w:type="spellEnd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);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травми черепа, що супроводжуються струсом мозку;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спадкові фактори;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несприятливі соціально-побутові умови, що призводять до педагогічної запущеності, порушень емоційно-вольової сфери і дефіциту в розвитку мовлення;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порушення будови артикуляційного апарату.;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14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color w:val="003366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різні захворювання в перші роки життя дитини, особливо пагубними для</w:t>
      </w:r>
      <w:r w:rsidRPr="006D01C9">
        <w:rPr>
          <w:rFonts w:ascii="Arial" w:eastAsia="Times New Roman" w:hAnsi="Arial" w:cs="Arial"/>
          <w:color w:val="003366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 xml:space="preserve">розвитку мовлення є часті інфекційно-вірусні захворювання, 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менінго-енцефаліти</w:t>
      </w:r>
      <w:proofErr w:type="spellEnd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 xml:space="preserve"> й ранні шлунково-кишкові розлади.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 </w:t>
      </w:r>
      <w:r w:rsidRPr="006D01C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Велике значення в </w:t>
      </w:r>
      <w:proofErr w:type="spellStart"/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корекційному</w:t>
      </w:r>
      <w:proofErr w:type="spellEnd"/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 навчанні має </w:t>
      </w:r>
      <w:r w:rsidRPr="006D01C9">
        <w:rPr>
          <w:rFonts w:ascii="Arial" w:eastAsia="Times New Roman" w:hAnsi="Arial" w:cs="Arial"/>
          <w:b/>
          <w:bCs/>
          <w:color w:val="800000"/>
          <w:sz w:val="28"/>
          <w:szCs w:val="28"/>
          <w:lang w:eastAsia="uk-UA"/>
        </w:rPr>
        <w:t xml:space="preserve">рання 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8"/>
          <w:szCs w:val="28"/>
          <w:lang w:eastAsia="uk-UA"/>
        </w:rPr>
        <w:t>діагностика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різних</w:t>
      </w:r>
      <w:proofErr w:type="spellEnd"/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 аномалій розвитку мовлення. Якщо мовленнєві дефекти виявили при вступі дитини в школу чи в молодших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класах, їх буває важко усувати, що негативно відбивається на успішності. Якщо ж відхилення виявляють у дитини в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ранньому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або дошкільному віці, рання медична і педагогічна корекція значно підвищують вірогідність повноцінного навчання в школі.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    </w:t>
      </w:r>
      <w:r w:rsidRPr="006D01C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8"/>
          <w:szCs w:val="28"/>
          <w:lang w:eastAsia="uk-UA"/>
        </w:rPr>
        <w:t>Якщо Ви помітили, що ваш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8"/>
          <w:szCs w:val="28"/>
          <w:lang w:eastAsia="uk-UA"/>
        </w:rPr>
        <w:t>дитина: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- взагалі не говорить або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її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мовлення не відповідає віковим нормам;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- не розуміє або погано розуміє Вас, не виконує прості доручення;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- погано сприймає мовлення того, хто до нього звертається, коли не бачить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 губ мовця або стоїть до нього спиною.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    </w:t>
      </w:r>
      <w:r w:rsidRPr="006D01C9">
        <w:rPr>
          <w:rFonts w:ascii="Arial" w:eastAsia="Times New Roman" w:hAnsi="Arial" w:cs="Arial"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Вам потрібно </w:t>
      </w:r>
      <w:r w:rsidRPr="006D01C9">
        <w:rPr>
          <w:rFonts w:ascii="Arial" w:eastAsia="Times New Roman" w:hAnsi="Arial" w:cs="Arial"/>
          <w:b/>
          <w:bCs/>
          <w:color w:val="800000"/>
          <w:sz w:val="28"/>
          <w:szCs w:val="28"/>
          <w:lang w:eastAsia="uk-UA"/>
        </w:rPr>
        <w:t>негайно звернутися до спеціалістів,</w:t>
      </w:r>
      <w:r w:rsidRPr="006D01C9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які могли б встановити причину подібних розладів.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Такими спеціалістами є: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b/>
          <w:bCs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uk-UA"/>
        </w:rPr>
        <w:t>лікар-психіатр,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який може виявити порушення у функціонуванні центральної нервової системи, що негативно впливають на формування мовлення дитини;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b/>
          <w:bCs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uk-UA"/>
        </w:rPr>
        <w:t>лікар-сурдолог</w:t>
      </w:r>
      <w:proofErr w:type="spellEnd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uk-UA"/>
        </w:rPr>
        <w:t xml:space="preserve"> або ЛОР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, які після обстеження дитини можуть сказати, чи не є порушення мовлення Вашої дитини наслідком дефекту слуху;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b/>
          <w:bCs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uk-UA"/>
        </w:rPr>
        <w:t>дефектолог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, який на підставі висновків інших фахівців, а також після  спеціального дослідження визначить, чи не є мовленнєвий розлад наслідком інтелектуальної патології, або навпаки, чи розлад мовлення не призведе до затримки у розвитку інших пізнавальних процесів (увага, мислення, пам'ять, сприйняття), після чого визначить методи корекції;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Wingdings" w:eastAsia="Times New Roman" w:hAnsi="Wingdings" w:cs="Arial"/>
          <w:b/>
          <w:bCs/>
          <w:color w:val="800000"/>
          <w:sz w:val="20"/>
          <w:szCs w:val="20"/>
          <w:lang w:eastAsia="uk-UA"/>
        </w:rPr>
        <w:t></w:t>
      </w:r>
      <w:r w:rsidRPr="006D01C9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eastAsia="uk-UA"/>
        </w:rPr>
        <w:t>    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uk-UA"/>
        </w:rPr>
        <w:t>логопед,</w:t>
      </w:r>
      <w:r w:rsidRPr="006D01C9">
        <w:rPr>
          <w:rFonts w:ascii="Arial" w:eastAsia="Times New Roman" w:hAnsi="Arial" w:cs="Arial"/>
          <w:b/>
          <w:bCs/>
          <w:color w:val="000080"/>
          <w:sz w:val="20"/>
          <w:szCs w:val="20"/>
          <w:lang w:eastAsia="uk-UA"/>
        </w:rPr>
        <w:t> </w:t>
      </w:r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 xml:space="preserve">який на підставі висновків </w:t>
      </w:r>
      <w:proofErr w:type="spellStart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сурдолога</w:t>
      </w:r>
      <w:proofErr w:type="spellEnd"/>
      <w:r w:rsidRPr="006D01C9">
        <w:rPr>
          <w:rFonts w:ascii="Arial" w:eastAsia="Times New Roman" w:hAnsi="Arial" w:cs="Arial"/>
          <w:b/>
          <w:bCs/>
          <w:color w:val="800000"/>
          <w:sz w:val="20"/>
          <w:szCs w:val="20"/>
          <w:lang w:eastAsia="uk-UA"/>
        </w:rPr>
        <w:t>, психіатра, невропатолога, а також після спеціального логопедичного обстеження зробить висновок про характер мовленнєвих порушень і визначить способи корекції.</w:t>
      </w:r>
    </w:p>
    <w:p w:rsidR="006D01C9" w:rsidRPr="006D01C9" w:rsidRDefault="006D01C9" w:rsidP="006D01C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D01C9">
        <w:rPr>
          <w:rFonts w:ascii="Arial" w:eastAsia="Times New Roman" w:hAnsi="Arial" w:cs="Arial"/>
          <w:b/>
          <w:bCs/>
          <w:color w:val="FF0000"/>
          <w:sz w:val="20"/>
          <w:szCs w:val="20"/>
          <w:lang w:eastAsia="uk-UA"/>
        </w:rPr>
        <w:t>Пам'ятайте! Що раніше розпочнеться корекція, то більше позитивних результатів вдасться досягти.</w:t>
      </w:r>
    </w:p>
    <w:p w:rsidR="006D01C9" w:rsidRPr="006D01C9" w:rsidRDefault="006D01C9" w:rsidP="006D01C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  <w:r w:rsidRPr="006D01C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  <w:t>ЛОГОПЕДИЧНА ТЕРМІНОЛОГІЯ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8"/>
        <w:gridCol w:w="6167"/>
      </w:tblGrid>
      <w:tr w:rsidR="006D01C9" w:rsidRPr="006D01C9" w:rsidTr="006D01C9">
        <w:trPr>
          <w:trHeight w:val="20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Термін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Визначення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Агнозія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Порушення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різноманітих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видів сприймання, яке виникає при певних ураженнях мозку (зорові, слухові, тактильні агнозії).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Аграматизм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розуміння (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імпресивне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) і приймання (експресивне) граматичних засобів мови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Акалькулія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рахунку і рахункових операцій внаслідок органічного ураження різноманітних зон кори головного мозку.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Алалія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Відсутність або недорозвинення мовлення внаслідок органічного ураження мовленнєвих зон кори головного мозку у внутрішньоутробному або ранньому періоді розвитку дитини (до 3х років).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Амнезія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пом`яті, що виникає при різноманітних локальних ураженнях мозку.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Анальгезії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Відсутність больових відчуттів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Анамнез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Сукупність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данних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про умови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винекнення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і перебігу хвороби, історію розвитку дитини на всіх етапах її життя.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Анастезія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Зникнення відчуттів, втрата чутливості в окремому або декількох аналізаторах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Артикуляція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Діяльність мовленнєвих органів, пов`язана з вимовою звуків мовлення і різноманітних їх комплексів, які складають склади, слова.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Атаксія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Розлад координації рухів, спостерігається при різноманітних захворюваннях головного мозку.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Аутизація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Зменшення потреби у спілкуванні, погіршення контактів з оточенням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Афазія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Повна або часткова втрата мовлення, обумовлена локальними ураженнями головного мозку.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Афект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Короткочасний, максимальний за інтенсивністю емоційний стан (лють, жах, відчай, екстаз, екзальтація, тощо), під час якого знижується ступінь самовладання: дії та вчинки здійснюються за особливою емоційною логікою, а не за логікою розуму.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      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Афонія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Повна відсутність голосу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Безладність мислення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Спостерігається розлад синтезу, в наслідок чого втрачається і змістовна і граматична побудова мови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Брадилалія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Патологічно уповільнений темп мовлення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Бульбарна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дизартрія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Вид мовленнєвого порушення, який виникає при ураженнях продовгуватого мозку у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звязку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з руйнуванням ядер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черепно-мозгових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нервів. Характерний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вялий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параліч або парез м'язів глотки, гортані, язика, м'якого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піднебіння.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 xml:space="preserve">Зона </w:t>
            </w: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Брока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Центр моторного мовлення, розташований у задній частині нижньої лобної звивини лівої півкулі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Відчуття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Пізнавальний психічний процес відображення в мозку людини окремих властивостей і якостей предметів, явищ та подій, що безпосередньо діють на органи чуття.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Вербалізм        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Недолік, при якому словесний вираз у дітей не відповідає конкретним поняттям та уявленням.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Виховання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Систематичне і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цілоспрямоване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управління процесом формування особистості.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Вищі психічні функції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Складні системні психічні процеси, що відбуваються під час розвитку людини під впливом суспільства, що забезпечують пластичність й адаптивність поводження.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Воля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Свідома саморегуляція людиною своєї поведінки і діяльності, регулююча функція мозку, що полягає в здатності активно домагатись свідомо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поставленної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мети, переборюючи зовнішні та внутрішні перешкоди.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Зона </w:t>
            </w: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Верніке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Центр сприймання мовлення, який знаходиться у задньому відділі верхньої скроневої звивини лівої півкулі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Гіпальгезія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Притуплення больових відчуттів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Гіперкінез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Насильницькі мимовільні рухи, що виникають при порушеннях нервової системи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Гіперопікування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Система взаємостосунків у родині, коли дитиною занадто опікуються і контролюють її.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Геміплегія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Ураження на одній половині тіла функцій довільної рухомості, тобто параліч (парез) однієї частини тіла.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Дезадаптація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Порушення у процесі пристосування живого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організму до дії факторів навколишнього і внутрішнього середовища.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Депресія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Пригнічений, тужливий настрій, який може спостерігатися від декількох днів до декількох місяців. При цьому людина переймається тим, що з нею відбувається.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Дизартрія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Дизартрія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Складне порушення звукової сторони мовлення, обумовлене недостатністю іннервації мовленнєвого апарату. При дизартрії спостерігаються розлади моторної сторони усного мовлення, тобто розлади артикуляції, дихання,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голосоутворення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темпу, ритму та інтонації. Причиною може бути гіпертонія, гіпотонія або дистонія м’язів.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Дисграфія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Часткове, специфічне, стійке порушення писемного мовлення, основним симптомом якого є наявність стійких помилок на письмі, не дивлячись на достатній рівень інтелектуального розвитку, регулярності навчання, а також за відсутності грубих порушень слухового та зорового аналізаторів.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Дислалія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Порушення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звуковимови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при нормальному слуху та збереженій іннервації мовленнєвого апарату. Спостерігаються заміни звуків, їх змішування та спотворення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Дислексія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        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 часткове, специфічне порушення процесу читання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Дисфонія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Часткові порушення висоти, сили та тембру голосу.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Дисфорія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Стан похмурого, тужливо-злостивого настрою, з відтінком невдоволення, роздратованості, що часто виникає несподівано, без зовнішньої причини і продовжується від декількох годин до кількох днів.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Егоїзм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Морально-психологічна риса особи, полягає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 xml:space="preserve">в надмірній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зосередженності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на своєму "Я", замкненості у вузькому світі своєї індивідуальності.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Егоцентризм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Специфічна орієнтація духовного світу людини на саму себе, на своє "Я", небажання і невміння бачити інших людей.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Ейфорія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Підвищений настрій з відтінком благодушності, задоволення,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радошів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що не відповідає ситуації і обставинам особистого життя.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Екзогенний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Стан, породжений зовнішніми причинами, що лежать за межами організму,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навідміну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від ендогенного.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Експліцитний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Явний, чіткий, розгорнутий, доступний зовнішньому спостереженню (на відміну від імпліцитного). Наприклад, мислення експліцитно розгортається у мовленні.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Екстеріоризація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Перехід внутрішніх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мисленнєвих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психічних актів у зовнішній план, в конкретні зовнішні реакції і дії людини. Вона невіддільна від інтеріоризації, це дві співіснуючі протилежності психіки.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Електроенцефалографія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Метод дослідження біоелектричних потенціалів біострумів мозку та їхня об'єктивізація у вигляді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електроенцифалограми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(запис на спеціальній стрічці характерного малюнка біоелектричної активності).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Емоції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Психічні стани і процеси людини, у яких реалізуються її ситуативні переживання. Також це властивості людини, оскільки в них виявляються позитивне або негативне ставлення індивіда до самого себе, до певних об'єктів, сфер діяльності, до інших людей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Емоційна лабільність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Коливання настрою; легкі переходи від благодушності до гнівливого чи пригніченого стану.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Емоційне спілкування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Різновид соціального спілкування, яке спирається на емоції і почуття людей.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Емоція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Особливий клас психічних процесів і станів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повязаних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з інстинктами, потребами й мотивами, що відображають у формі безпосереднього тимчасового переживання (задоволення, радості, страху, тощо) значущість для життєдіяльності індивіда явищ і ситуацій, які діють на нього.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Етіологія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Вчення про причини й умови виникнення хвороби, недугу, патологічного стану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Жести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Виражальні рухи рук, пальців (використовуються як допоміжний засіб спілкування людей).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Життєва сфера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Певний аспект життя, відносно незалежний від інших (сімейне життя, шкільне життя, сфера міжособистісних стосунків).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Заїкання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Порушення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темпо-ритмічної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організації мовлення, обумовлене судомним станом м’язів мовленнєвого апарату.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Загальне недорозвинення мовлення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 різноманітні складні мовленнєві розлади, при яких порушене формування всіх компонентів мовленнєвої системи, що відносяться до звукової та змістовної сторони мовлення (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звуковимова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лексика, граматика, зв`язне мовлення).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Імпульсивність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Схильність до скоєння необдуманих дій під впливом випадкових зовнішніх обставин або випадкових власних думок та емоцій; брак або недостатність планування власних дій і самоконтролю.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Інтелект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Індивідуальні особливості структури пізнавальної сфери людини.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Інтеріоризація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Процес переходу від зовнішньої, реальної дії до внутрішньої, ідеальної.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Корекційна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педагогіка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Наука про закономірності й особливості освіти, виховання і навчання осіб переважно дитячого віку з порушеннями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психофізичного, емоційного і/або розумового розвитку.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Коркова дизартрія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довільної моторики артикуляційного апарату при якому погіршується динамічне переключення від одного звуку до іншого.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Ламбдацизм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Неправильна вимова звуків Л, Л`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Лепет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Голосові реакції дитини на позитивні подразнення; виявляється на другому (індивідуально) місяці життя у вигляді різноманітних нескладних звукових комплексів (починаючи з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гуління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) і поступово ускладнюється (багаторазове повторення складів); при мовленнєвих вадах з`являється у дітей із запізненням.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Логопедія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Наука про порушення мовлення, причин цих порушень, методи попередження, виявлення та усунення мовленнєвих порушень.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Логопсихологія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Галузь спеціальної психології, в якій вивчається психічний розвиток осіб з порушеннями мовлення.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Логорея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Беззв`язний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мовленнєвий потік, як прояв мовленнєвої активності (при сенсорних порушеннях).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Міміка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Рухи м`язів обличчя, очей, які показують різні почуття людини: радість, печаль, здивування, страх та інші.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Мінімальні стерті </w:t>
            </w: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дизартричні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розлади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Незначне порушення мовлення центрального органічного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генезу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яке проявляється в основному фонетичними порушеннями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Ментизм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Мимовільно виникаючий, некерований потік думок.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Мова       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Система знаків, яка є засобом спілкування,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мисленнєвої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діяльності, передачі інформації та її зберігання.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Мовлення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Оволодіння та застосування особистістю певної мови в процесі її спілкування з іншими людьми, тобто в процесі мовленнєвої діяльності (мова в дії).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Модуляція голосу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Зміна висоти голосу, пов`язана з інтонацією.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Мутизм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Припинення мовленнєвого спілкування внаслідок тяжкої психічної травми (має тимчасовий характер і належить до групи невротичних реакцій).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Настрій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Відносно тривалий психічний стан душевної орієнтованості, в основі якого лежить емоція (позитивна або негативна, однак не нейтральна).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Научування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Набуття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сенсомоторного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й інтелектуального досвіду, нових форм поведінки; засвоєння особою, яка навчається, соціального досвіду, знань, умінь і навичок, вироблених людством протягом тисячоліть; у соціальні психології результатом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научування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є соціалізація особистості.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Неадекватність емоцій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Парадоксальна емоційна реакція, яка не відповідає ні силі, ні глибині подразника.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Невроз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Функціональний розлад, "зрив" вищої нервової діяльності в результаті перенапруження основних нервових процесів - збудження, гальмування та їх динаміки.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Невропатія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Стан підвищеної збудливості нервової системи у поєднанні з підвищеною виснажливістю.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Негативізм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Протидія вимогам, або немотивована відмова від контактів.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Недорозвинення мовлення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Якісно низький рівень сформованості порівняно з нормою тієї чи іншої мовленнєвої функції або мовленнєвої системи загалом.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Неуважність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Нестійкість уваги, виявляється у підвищеній реактивності на зовнішні подразнення, недостатній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зосередженності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на об'єкті відображення.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Норма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Узаконене встановлення, визнаний обов'язковим порядок, устрій чого-небудь. В загальній психології нормою називають міру розвитку і виявлення психічних функцій і властивостей.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Обтуратор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Засіб (пластина) для закриття дефекту твердого піднебіння при його розщілинах.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Онтогенез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Процес розвитку індивідуального організму, тобто сукупність послідовних морфологічних, фізіологічних та біохімічних перетворень організму від його зародження до кінця життя.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Орфографічна навичка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 автоматизований компонент свідомої мовленнєвої діяльності людини, за умов перебігу її у письмі.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Особистість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Людина як суспільній, соціалізований індивід. Особистістю не народжуються, вона формується у процесі набуття соціально-культурного досвіду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Підкіркова дизартрія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Вид дизартрії, для якого характерно порушення м`язового тонусу, наявність гіперкінезів (порушення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фанації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та артикуляції), в наслідок ураження підкіркових відділів головного мозку.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Пам`ять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Психічний процес, який відображає досвід людини шляхом запам`ятовування, зберігання та відтворення.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Патогенез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1) Вчення про загальні закономірності розвитку, перебігу та кінця хвороби;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2) Механізм розвитку конкретної хвороби, патологічного процесу або стану.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Патологія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Наука, що вивчає закономірності виникнення і розвитку хвороб, окремих патологічних процесів і станів.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Патопсихологія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Галузь психології, в якій досліджуються закономірності змін психічної діяльності та характеристики особистості під час хвороби.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Педагогічна занедбаність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Стійке відхилення у свідомості й поведінці дитини, зумовлене негативним впливом середовища, недоліками виховання, прогалинами у навчанні.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Персеверація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Нав`язливе повторення одних і тих самих попередніх рухів, слів, фраз, образів, думок. Розрізняють моторну, сенсорну й інтелектуальну персеверацію.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Поведінка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Сукупність дій, здійснюваних індивідом у процесі взаємодії з середовищем; це зовнішній вияв психічної діяльності.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Постнатальний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Післяпологовий, післяродовий.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Потреба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Стан організму особистості, соціальної групи, суспільства в цілому, який залежить від об`єктивних умов їх існування і розвитку.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Просодика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Загальна назва таких ритміко-інтонаційних сторін мовлення, як висота, гучність голосового тону, тембр голосу, сила наголосу.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Псевдобульбарна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дизартрія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Вид дизартрії, при якому спостерігається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спастика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м`язів, яка виникає в наслідок органічного ураження головного мозку (провідних шляхів).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Психіка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Здатність мозку відображати об'єктивну дійсність у формі відчуттів, уявлень, думок та інших суб'єктивних образів об'єктивного світу.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Психічні процеси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Окремі вияви психічної діяльності людини, які умовно можуть бути самостійними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обєктами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досліджень (відчуття, сприймання, мислення,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память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, увага, уява).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Психолінгвістика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Наука, в якій вивчаються мовленнєва діяльність, її сутність, внутрішня структурна організація (мовленнєві дії, розуміння та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 xml:space="preserve">виникнення мовленнєвого висловлювання), взаємодія та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взаємозумовленність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понять "мова" та "мовлення", місце і роль мовленнєвої діяльності у загальному контексті інтелектуального процесу.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Психопатологія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Галузь медицини, яка вивчає хвороби психіки, їх причини.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Реабілітація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1) Відновлення або компенсація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функцій організму та працездатності хворих й інвалідів, тобто це повернення хворого до нормального життя в межах його психофізичних можливостей.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 2) Комплексна багатоетапна система медичних, соціально-психологічних, педагогічних заходів, спрямованих на усунення чи пом`якшення вад розвитку дітей-інвалідів і дітей з обмеженими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фізічними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та розумовими можливостями, інтеграцію в соціум, залучення до громадського життя і праці.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Регідність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Недостатність пластичності або повна неспроможність, нездатність корегувати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программу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власної діяльності відповідно до вимог ситуації.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Релаксація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Розслаблення, зменшення тонусу скелетної мускулатури.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Ринолалія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Порушення тембру голосу та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звуковимови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, обумовлене анатомо-фізіологічними дефектами мовленнєвого апарату. Буває органічного походження відкрита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ринолалія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– коли повітря при мовленні потрапляє одночасно у ротову та носову порожнину через щілину у твердому піднебінні, і закрита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ринолалія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– коли повітря при мовленні не потрапляє у носовий резонатор. Також буває функціональна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ринолалія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– коли м’яке піднебіння недостатньо піднімається і не утворює з’єднання зі стінкою глотки (валиком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Пассавана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), у зв’язку з чим, повітря невеличкою порцією все ж потрапляє у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носову порожнину.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Риси особистості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Стійкі елементарні, індивідуальні психологічні властивості людини, що характеризують її як особистість.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Розвиток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Видозміни від простого до складного, від нижчого до вищого в наслідок накопичення кількісних змін, що зумовлюють якісні перетворення. Розрізняють онтогенез (розвиток від народження до кінця життя) та філогенез (розвиток, який відбувається під час біологічної еволюції під впливом умов життя).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Розгальмованість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Процесс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, який виявляється у надмірній рухливості, метушливості, незібраності, непосидючості дитини. Психомоторна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розгальмованість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часто поєднується з нестійкістю уваги, відволіканням, підвищеною виснажливістю, імпульсивністю. Особливо характерна для дошкільного та молодшого шкільного віку, спостерігається у дітей з різними проявами інфантилізму, затримкою психомоторного розвитку, загальним психічним недорозвитком, тощо.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Розум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Узагальнена характеристика пізнавальних можливостей людини.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Ротацизм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Неправильна вимова звуків Р, Р'.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Сензитивний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період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Етап найінтенсивнішого розвитку певних психічних функцій, оптимальний для засвоєння відповідних видів діяльності.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Сенсорна </w:t>
            </w: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гіпопатія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Зниження інтенсивності сприймання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Сенсорний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Чуттєвий, пов`язаний із відображенням дійсності за допомогою відчуттів і сприймань.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Сигматизм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вимови свистячих та шиплячих звуків.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Симптом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Характерний вияв, ознака психічних або органічних порушень і захворювань, що свідчать про зміни нормального функціонування організму або психіки.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Симультанний аналіз та синтез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Це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одномоментний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механізм організації діяльності кори головного мозку, який локалізований у тім`яно-скронево-потиличній зоні (зона перекриття).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Синдром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Сукупність ознак (симптомів).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Складний дефект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Поєднання двох або більше дефектів розвитку, що є не лише сумою дефектів, а й зумовлюють якісну своєрідну структуру психічного дефекту.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Соціалізація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Процес, за допомогою якого індивід здобуває знання, цінності, соціальні навички та соціальну чутливість, що дає йому змогу інтегруватися у суспільство і поводитися у ньому адаптовано.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Сприймання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Відображення у мозку людини предметів та явищ, в сукупності властивостей, якостей та частин при їх дії на органи чуття.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Стафілографія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Операція аналогічна уранопластиці, яка має на меті виправлення ушкоджень у м'якому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пыднебінні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Страх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Стан тривожного, боязливого напруження, який виникає без певних або достатніх на те мотивів.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Структура дефекту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Психічний синдром, що складається з первинного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синдромоутворювального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симптому (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фоктора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) і вторинних, які виникають внаслідок взаємозалежності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єлементів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психічної системи.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Судороги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Неконтольовані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скорочення м`язів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Сукцесивний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аналіз та синтез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Це послідовний механізм організації діяльності кори головного мозку, який локалізується у лобній зоні.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Увага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Зосередженність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діяльності суб'єкта у певний момент часу на реальному або ідеальному об'єкті (предметі, події, образі, думці, тощо) під час одночасного абстрагування від інших.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Уміння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Використання суб'єктом наявних знань і навичок для вибору і здійснення прийомів, дій відповідно до поставленої мети.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Уранопластика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Хірургічне оперативне закриття щілин і дефектів твердого піднебіння. Аналогічна уранопластиці операція для закриття дефектів м'якого піднебіння називається.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Уява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Психічний процес, що полягає у створенні людиною нових образів, уявлень, думок на базі її попереднього досвіду.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Фенотип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Сукупність усіх ознак і властивостей організму, що сформувалися у процесі його індивідуального розвитку (онтогенезу). Фенотип визначається взаємодією генотипу, тобто спадкової основи організму, з умовами середовища, в яких відбувається його розвиток.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Фонематичний слух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Мовний слух, що передбачає розрізнення звуків мови як фонем і цим сприяє осмислення граматичної форми і значення слів.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Фонетико-фонематичне недорозвинення мовлення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Порушення процесів формування мовної системи рідної мови у дітей з різноманітними мовленнєвими порушеннями внаслідок дефектів сприймання та вимовляння фонем.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Фрустрація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Психічний стан, який виникає внаслідок реальної чи уявної перешкоди, що заважає досягненню мети. Виявляється у відчуттях напруги, тривоги, гніву, тощо...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Функціональний розлад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Загальний термін для позначення будь-якого розладу певної функції, причиною якого не є органічна патологія.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ФФНМ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Фонетико-фонематичне недорозвинення мовлення - порушення процесів формування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 xml:space="preserve">мовної системи рідної мови у дітей з різноманітними мовленнєвими порушеннями внаслідок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дифектів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сприймання та вимовляння фонем.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Характер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Набута в процесі взаємодії з довкіллям індивідуальна особливість особистості, функція якої полягає в об'єктивізації її спрямованості у формі стійких рис, виражених у специфічних та відносно константних способах поведінки.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Життевий</w:t>
            </w:r>
            <w:proofErr w:type="spellEnd"/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 xml:space="preserve"> цикл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Послідовність вікових фаз індивідуального розвитку людини від народження до смерті.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Ціннісні орієнтації     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Ціннісні орієнтації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Вибіркова, відносно стійка система спрямованості інтересів і потреб особистості,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націлина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на певний аспект соціальних цінностей.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Цінність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Поняття, що фіксує позитивне або негативне значення будь-якого об'єкта чи явища.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Центральна нервова система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Основна частина нервової системи тварин і людини, яка складається з накопичення нервових клітин (нейронів) та їх відростків;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включая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спинний та головний мозок. Функцією є виконання простих і складних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високодиференційованихвідображувальних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реакцій, так званих рефлексів.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Церебральний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Мозковий, пов'язаний з головним мозком.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Циклограма    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Запис рухів людини шляхом фотографування рухового об'єкта у вигляді серій моментальних і потрібних для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данного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дослідження знімків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ЦНС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Центральна нервова система - основна частина нервової системи тварин і людини, яка складається з накопичення нервових клітин (нейронів) та їх відростків;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включая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спинний та головний мозок. Функцією є виконання простих і складних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високодиференційованихвідображувальних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</w:t>
            </w: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lastRenderedPageBreak/>
              <w:t>реакцій, так званих рефлексів.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lastRenderedPageBreak/>
              <w:t>Читання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Вид психічної діяльності; виявляється в асоціюванні із зображеннями літер </w:t>
            </w: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звуковиз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елементів мови (звуків, складів, слів, фраз).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Читання з губ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Зорове сприймання усної мови за видимими рухами мовленнєвих органів; доповнює слухове сприймання мови, особливо коли воно ускладнене об'єктивними причинами (сторонній шум, нечітке вимовляння) або своєрідними функціональними порушеннями (послаблення, втрата слуху).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Швидкість запам'ятовування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Визначаэться</w:t>
            </w:r>
            <w:proofErr w:type="spellEnd"/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 xml:space="preserve"> кількістю повторень, необхідних для запам'ятання нового матеріалу.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 </w:t>
            </w:r>
          </w:p>
        </w:tc>
      </w:tr>
      <w:tr w:rsidR="006D01C9" w:rsidRPr="006D01C9" w:rsidTr="006D01C9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uk-UA"/>
              </w:rPr>
              <w:t>Я-концепція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9" w:rsidRPr="006D01C9" w:rsidRDefault="006D01C9" w:rsidP="006D01C9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6D01C9">
              <w:rPr>
                <w:rFonts w:ascii="Arial" w:eastAsia="Times New Roman" w:hAnsi="Arial" w:cs="Arial"/>
                <w:color w:val="800000"/>
                <w:sz w:val="28"/>
                <w:szCs w:val="28"/>
                <w:lang w:eastAsia="uk-UA"/>
              </w:rPr>
              <w:t>Динамічна система уявлень людини про себе, яка включає усвідомлення своїх фізичних, інтелектуальних та інших особливостей, самооцінку та суб'єктивне сприймання зовнішніх факторів, що впливають на особистість.</w:t>
            </w:r>
          </w:p>
        </w:tc>
      </w:tr>
    </w:tbl>
    <w:p w:rsidR="00633C63" w:rsidRDefault="006C2A58"/>
    <w:p w:rsidR="006D01C9" w:rsidRDefault="006D01C9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p w:rsidR="003F496D" w:rsidRDefault="003F496D"/>
    <w:sectPr w:rsidR="003F496D" w:rsidSect="00A55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1C9"/>
    <w:rsid w:val="000A4B50"/>
    <w:rsid w:val="00392ECA"/>
    <w:rsid w:val="003F496D"/>
    <w:rsid w:val="006C2A58"/>
    <w:rsid w:val="006D01C9"/>
    <w:rsid w:val="008D25CD"/>
    <w:rsid w:val="00A5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3790</Words>
  <Characters>21608</Characters>
  <Application>Microsoft Office Word</Application>
  <DocSecurity>0</DocSecurity>
  <Lines>180</Lines>
  <Paragraphs>50</Paragraphs>
  <ScaleCrop>false</ScaleCrop>
  <Company/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Учень2</dc:creator>
  <cp:lastModifiedBy>WWW</cp:lastModifiedBy>
  <cp:revision>6</cp:revision>
  <dcterms:created xsi:type="dcterms:W3CDTF">2016-09-13T08:20:00Z</dcterms:created>
  <dcterms:modified xsi:type="dcterms:W3CDTF">2016-09-27T08:21:00Z</dcterms:modified>
</cp:coreProperties>
</file>